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rPr>
      </w:pPr>
      <w:r>
        <w:rPr>
          <w:rFonts w:hint="eastAsia" w:ascii="黑体" w:hAnsi="黑体" w:eastAsia="黑体"/>
        </w:rPr>
        <w:t>附件1</w:t>
      </w: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培训课程安排及师资介绍</w:t>
      </w:r>
    </w:p>
    <w:tbl>
      <w:tblPr>
        <w:tblStyle w:val="7"/>
        <w:tblW w:w="940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87"/>
        <w:gridCol w:w="2353"/>
        <w:gridCol w:w="3651"/>
        <w:gridCol w:w="17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79" w:hRule="atLeast"/>
          <w:jc w:val="center"/>
        </w:trPr>
        <w:tc>
          <w:tcPr>
            <w:tcW w:w="1687" w:type="dxa"/>
            <w:vAlign w:val="center"/>
          </w:tcPr>
          <w:p>
            <w:pPr>
              <w:spacing w:line="400" w:lineRule="exact"/>
              <w:jc w:val="center"/>
              <w:rPr>
                <w:rFonts w:ascii="仿宋_GB2312" w:hAnsi="仿宋" w:cs="仿宋"/>
                <w:b/>
                <w:bCs/>
                <w:sz w:val="28"/>
                <w:szCs w:val="28"/>
              </w:rPr>
            </w:pPr>
            <w:r>
              <w:rPr>
                <w:rFonts w:hint="eastAsia" w:ascii="仿宋_GB2312" w:hAnsi="仿宋" w:cs="仿宋"/>
                <w:b/>
                <w:bCs/>
                <w:sz w:val="28"/>
                <w:szCs w:val="28"/>
              </w:rPr>
              <w:t xml:space="preserve"> 日  期</w:t>
            </w:r>
          </w:p>
        </w:tc>
        <w:tc>
          <w:tcPr>
            <w:tcW w:w="2353" w:type="dxa"/>
            <w:vAlign w:val="center"/>
          </w:tcPr>
          <w:p>
            <w:pPr>
              <w:spacing w:line="400" w:lineRule="exact"/>
              <w:jc w:val="center"/>
              <w:rPr>
                <w:rFonts w:ascii="仿宋_GB2312" w:hAnsi="仿宋" w:cs="仿宋"/>
                <w:b/>
                <w:bCs/>
                <w:sz w:val="28"/>
                <w:szCs w:val="28"/>
              </w:rPr>
            </w:pPr>
            <w:r>
              <w:rPr>
                <w:rFonts w:hint="eastAsia" w:ascii="仿宋_GB2312" w:hAnsi="仿宋" w:cs="仿宋"/>
                <w:b/>
                <w:bCs/>
                <w:sz w:val="28"/>
                <w:szCs w:val="28"/>
              </w:rPr>
              <w:t>课时安排</w:t>
            </w:r>
          </w:p>
        </w:tc>
        <w:tc>
          <w:tcPr>
            <w:tcW w:w="3651" w:type="dxa"/>
            <w:vAlign w:val="center"/>
          </w:tcPr>
          <w:p>
            <w:pPr>
              <w:spacing w:line="400" w:lineRule="exact"/>
              <w:jc w:val="center"/>
              <w:rPr>
                <w:rFonts w:ascii="仿宋_GB2312" w:hAnsi="仿宋" w:cs="仿宋"/>
                <w:b/>
                <w:bCs/>
                <w:sz w:val="28"/>
                <w:szCs w:val="28"/>
              </w:rPr>
            </w:pPr>
            <w:r>
              <w:rPr>
                <w:rFonts w:hint="eastAsia" w:ascii="仿宋_GB2312" w:hAnsi="仿宋" w:cs="仿宋"/>
                <w:b/>
                <w:bCs/>
                <w:sz w:val="28"/>
                <w:szCs w:val="28"/>
              </w:rPr>
              <w:t>教学内容</w:t>
            </w:r>
          </w:p>
        </w:tc>
        <w:tc>
          <w:tcPr>
            <w:tcW w:w="1709" w:type="dxa"/>
            <w:vAlign w:val="center"/>
          </w:tcPr>
          <w:p>
            <w:pPr>
              <w:spacing w:line="400" w:lineRule="exact"/>
              <w:jc w:val="center"/>
              <w:rPr>
                <w:rFonts w:ascii="仿宋_GB2312" w:hAnsi="仿宋" w:cs="仿宋"/>
                <w:b/>
                <w:bCs/>
                <w:sz w:val="28"/>
                <w:szCs w:val="28"/>
              </w:rPr>
            </w:pPr>
            <w:r>
              <w:rPr>
                <w:rFonts w:hint="eastAsia" w:ascii="仿宋_GB2312" w:hAnsi="仿宋" w:cs="仿宋"/>
                <w:b/>
                <w:bCs/>
                <w:sz w:val="28"/>
                <w:szCs w:val="28"/>
              </w:rPr>
              <w:t>培训师资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jc w:val="center"/>
        </w:trPr>
        <w:tc>
          <w:tcPr>
            <w:tcW w:w="1687" w:type="dxa"/>
            <w:vMerge w:val="restart"/>
            <w:vAlign w:val="center"/>
          </w:tcPr>
          <w:p>
            <w:pPr>
              <w:jc w:val="center"/>
              <w:textAlignment w:val="center"/>
              <w:rPr>
                <w:rFonts w:ascii="仿宋" w:hAnsi="仿宋" w:eastAsia="仿宋"/>
                <w:color w:val="000000"/>
                <w:sz w:val="28"/>
                <w:szCs w:val="28"/>
              </w:rPr>
            </w:pPr>
            <w:r>
              <w:rPr>
                <w:rFonts w:hint="eastAsia" w:ascii="仿宋" w:hAnsi="仿宋" w:eastAsia="仿宋"/>
                <w:color w:val="000000"/>
                <w:sz w:val="28"/>
                <w:szCs w:val="28"/>
              </w:rPr>
              <w:t>4月16日</w:t>
            </w:r>
          </w:p>
          <w:p>
            <w:pPr>
              <w:jc w:val="center"/>
              <w:textAlignment w:val="center"/>
              <w:rPr>
                <w:rFonts w:ascii="仿宋" w:hAnsi="仿宋" w:eastAsia="仿宋"/>
                <w:color w:val="000000"/>
                <w:sz w:val="28"/>
                <w:szCs w:val="28"/>
              </w:rPr>
            </w:pPr>
            <w:r>
              <w:rPr>
                <w:rFonts w:hint="eastAsia" w:ascii="仿宋" w:hAnsi="仿宋" w:eastAsia="仿宋"/>
                <w:color w:val="000000"/>
                <w:sz w:val="28"/>
                <w:szCs w:val="28"/>
              </w:rPr>
              <w:t>（周一）</w:t>
            </w: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上午</w:t>
            </w:r>
          </w:p>
        </w:tc>
        <w:tc>
          <w:tcPr>
            <w:tcW w:w="3651" w:type="dxa"/>
            <w:vAlign w:val="center"/>
          </w:tcPr>
          <w:p>
            <w:pPr>
              <w:jc w:val="left"/>
              <w:textAlignment w:val="center"/>
              <w:rPr>
                <w:rFonts w:ascii="仿宋" w:hAnsi="仿宋" w:eastAsia="仿宋"/>
                <w:color w:val="000000"/>
                <w:sz w:val="24"/>
                <w:szCs w:val="24"/>
              </w:rPr>
            </w:pPr>
          </w:p>
        </w:tc>
        <w:tc>
          <w:tcPr>
            <w:tcW w:w="1709" w:type="dxa"/>
            <w:vAlign w:val="center"/>
          </w:tcPr>
          <w:p>
            <w:pPr>
              <w:jc w:val="left"/>
              <w:textAlignment w:val="center"/>
              <w:rPr>
                <w:rFonts w:ascii="仿宋" w:hAnsi="仿宋" w:eastAsia="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44" w:hRule="atLeast"/>
          <w:jc w:val="center"/>
        </w:trPr>
        <w:tc>
          <w:tcPr>
            <w:tcW w:w="1687" w:type="dxa"/>
            <w:vMerge w:val="continue"/>
            <w:vAlign w:val="center"/>
          </w:tcPr>
          <w:p>
            <w:pPr>
              <w:widowControl/>
              <w:jc w:val="left"/>
              <w:rPr>
                <w:rFonts w:ascii="仿宋" w:hAnsi="仿宋" w:eastAsia="仿宋"/>
                <w:color w:val="000000"/>
                <w:sz w:val="28"/>
                <w:szCs w:val="28"/>
              </w:rPr>
            </w:pP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14：00—14：30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color w:val="000000"/>
                <w:sz w:val="24"/>
                <w:szCs w:val="24"/>
              </w:rPr>
              <w:t>开学典礼、集体合影</w:t>
            </w:r>
          </w:p>
        </w:tc>
        <w:tc>
          <w:tcPr>
            <w:tcW w:w="1709" w:type="dxa"/>
            <w:vAlign w:val="center"/>
          </w:tcPr>
          <w:p>
            <w:pPr>
              <w:jc w:val="left"/>
              <w:textAlignment w:val="center"/>
              <w:rPr>
                <w:rFonts w:ascii="仿宋" w:hAnsi="仿宋" w:eastAsia="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44" w:hRule="atLeast"/>
          <w:jc w:val="center"/>
        </w:trPr>
        <w:tc>
          <w:tcPr>
            <w:tcW w:w="1687" w:type="dxa"/>
            <w:vMerge w:val="continue"/>
            <w:vAlign w:val="center"/>
          </w:tcPr>
          <w:p>
            <w:pPr>
              <w:widowControl/>
              <w:jc w:val="left"/>
              <w:rPr>
                <w:rFonts w:ascii="仿宋" w:hAnsi="仿宋" w:eastAsia="仿宋"/>
                <w:color w:val="000000"/>
                <w:sz w:val="28"/>
                <w:szCs w:val="28"/>
              </w:rPr>
            </w:pP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14：30—17：00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sz w:val="24"/>
                <w:szCs w:val="24"/>
              </w:rPr>
              <w:t>十九大后的宏观经济形势分析</w:t>
            </w:r>
          </w:p>
        </w:tc>
        <w:tc>
          <w:tcPr>
            <w:tcW w:w="1709" w:type="dxa"/>
            <w:vAlign w:val="center"/>
          </w:tcPr>
          <w:p>
            <w:pPr>
              <w:jc w:val="center"/>
              <w:textAlignment w:val="center"/>
              <w:rPr>
                <w:rFonts w:ascii="仿宋" w:hAnsi="仿宋" w:eastAsia="仿宋"/>
                <w:color w:val="000000"/>
                <w:sz w:val="24"/>
                <w:szCs w:val="24"/>
              </w:rPr>
            </w:pPr>
            <w:r>
              <w:rPr>
                <w:rFonts w:hint="eastAsia" w:ascii="仿宋" w:hAnsi="仿宋" w:eastAsia="仿宋"/>
                <w:sz w:val="24"/>
                <w:szCs w:val="24"/>
              </w:rPr>
              <w:t>耿强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jc w:val="center"/>
        </w:trPr>
        <w:tc>
          <w:tcPr>
            <w:tcW w:w="1687" w:type="dxa"/>
            <w:vMerge w:val="restart"/>
            <w:vAlign w:val="center"/>
          </w:tcPr>
          <w:p>
            <w:pPr>
              <w:jc w:val="center"/>
              <w:textAlignment w:val="center"/>
              <w:rPr>
                <w:rFonts w:ascii="仿宋" w:hAnsi="仿宋" w:eastAsia="仿宋"/>
                <w:color w:val="000000"/>
                <w:sz w:val="28"/>
                <w:szCs w:val="28"/>
              </w:rPr>
            </w:pPr>
            <w:r>
              <w:rPr>
                <w:rFonts w:hint="eastAsia" w:ascii="仿宋" w:hAnsi="仿宋" w:eastAsia="仿宋"/>
                <w:color w:val="000000"/>
                <w:sz w:val="28"/>
                <w:szCs w:val="28"/>
              </w:rPr>
              <w:t>4月17日</w:t>
            </w:r>
          </w:p>
          <w:p>
            <w:pPr>
              <w:jc w:val="center"/>
              <w:textAlignment w:val="center"/>
              <w:rPr>
                <w:rFonts w:ascii="仿宋" w:hAnsi="仿宋" w:eastAsia="仿宋"/>
                <w:color w:val="000000"/>
                <w:sz w:val="28"/>
                <w:szCs w:val="28"/>
              </w:rPr>
            </w:pPr>
            <w:r>
              <w:rPr>
                <w:rFonts w:hint="eastAsia" w:ascii="仿宋" w:hAnsi="仿宋" w:eastAsia="仿宋"/>
                <w:color w:val="000000"/>
                <w:sz w:val="28"/>
                <w:szCs w:val="28"/>
              </w:rPr>
              <w:t>（周二）</w:t>
            </w: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9：00—12：00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sz w:val="24"/>
                <w:szCs w:val="24"/>
              </w:rPr>
              <w:t>国学中的管理智慧</w:t>
            </w:r>
          </w:p>
        </w:tc>
        <w:tc>
          <w:tcPr>
            <w:tcW w:w="1709" w:type="dxa"/>
            <w:vAlign w:val="center"/>
          </w:tcPr>
          <w:p>
            <w:pPr>
              <w:jc w:val="center"/>
              <w:textAlignment w:val="center"/>
              <w:rPr>
                <w:rFonts w:ascii="仿宋" w:hAnsi="仿宋" w:eastAsia="仿宋"/>
                <w:color w:val="000000"/>
                <w:sz w:val="24"/>
                <w:szCs w:val="24"/>
              </w:rPr>
            </w:pPr>
            <w:r>
              <w:rPr>
                <w:rFonts w:hint="eastAsia" w:ascii="仿宋" w:hAnsi="仿宋" w:eastAsia="仿宋"/>
                <w:sz w:val="24"/>
                <w:szCs w:val="24"/>
              </w:rPr>
              <w:t>武黎嵩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13" w:hRule="atLeast"/>
          <w:jc w:val="center"/>
        </w:trPr>
        <w:tc>
          <w:tcPr>
            <w:tcW w:w="1687" w:type="dxa"/>
            <w:vMerge w:val="continue"/>
            <w:vAlign w:val="center"/>
          </w:tcPr>
          <w:p>
            <w:pPr>
              <w:widowControl/>
              <w:jc w:val="left"/>
              <w:rPr>
                <w:rFonts w:ascii="仿宋" w:hAnsi="仿宋" w:eastAsia="仿宋"/>
                <w:color w:val="000000"/>
                <w:sz w:val="28"/>
                <w:szCs w:val="28"/>
              </w:rPr>
            </w:pP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2：00—17：00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sz w:val="24"/>
                <w:szCs w:val="24"/>
              </w:rPr>
              <w:t>企业参访：ABB(中国)有限公司</w:t>
            </w:r>
          </w:p>
        </w:tc>
        <w:tc>
          <w:tcPr>
            <w:tcW w:w="1709" w:type="dxa"/>
            <w:vAlign w:val="center"/>
          </w:tcPr>
          <w:p>
            <w:pPr>
              <w:jc w:val="center"/>
              <w:textAlignment w:val="center"/>
              <w:rPr>
                <w:rFonts w:ascii="仿宋" w:hAnsi="仿宋" w:eastAsia="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79" w:hRule="atLeast"/>
          <w:jc w:val="center"/>
        </w:trPr>
        <w:tc>
          <w:tcPr>
            <w:tcW w:w="1687" w:type="dxa"/>
            <w:vMerge w:val="restart"/>
            <w:vAlign w:val="center"/>
          </w:tcPr>
          <w:p>
            <w:pPr>
              <w:jc w:val="center"/>
              <w:textAlignment w:val="center"/>
              <w:rPr>
                <w:rFonts w:ascii="仿宋" w:hAnsi="仿宋" w:eastAsia="仿宋"/>
                <w:color w:val="000000"/>
                <w:sz w:val="28"/>
                <w:szCs w:val="28"/>
              </w:rPr>
            </w:pPr>
            <w:r>
              <w:rPr>
                <w:rFonts w:hint="eastAsia" w:ascii="仿宋" w:hAnsi="仿宋" w:eastAsia="仿宋"/>
                <w:color w:val="000000"/>
                <w:sz w:val="28"/>
                <w:szCs w:val="28"/>
              </w:rPr>
              <w:t>4月18日</w:t>
            </w:r>
          </w:p>
          <w:p>
            <w:pPr>
              <w:jc w:val="center"/>
              <w:textAlignment w:val="center"/>
              <w:rPr>
                <w:rFonts w:ascii="仿宋" w:hAnsi="仿宋" w:eastAsia="仿宋"/>
                <w:color w:val="000000"/>
                <w:sz w:val="28"/>
                <w:szCs w:val="28"/>
              </w:rPr>
            </w:pPr>
            <w:r>
              <w:rPr>
                <w:rFonts w:hint="eastAsia" w:ascii="仿宋" w:hAnsi="仿宋" w:eastAsia="仿宋"/>
                <w:color w:val="000000"/>
                <w:sz w:val="28"/>
                <w:szCs w:val="28"/>
              </w:rPr>
              <w:t>（周三）</w:t>
            </w: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9：00—12：00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color w:val="000000"/>
                <w:sz w:val="24"/>
                <w:szCs w:val="24"/>
              </w:rPr>
              <w:t>时间管理与自我管理</w:t>
            </w:r>
          </w:p>
        </w:tc>
        <w:tc>
          <w:tcPr>
            <w:tcW w:w="1709"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蒋春燕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jc w:val="center"/>
        </w:trPr>
        <w:tc>
          <w:tcPr>
            <w:tcW w:w="1687" w:type="dxa"/>
            <w:vMerge w:val="continue"/>
            <w:vAlign w:val="center"/>
          </w:tcPr>
          <w:p>
            <w:pPr>
              <w:widowControl/>
              <w:jc w:val="left"/>
              <w:rPr>
                <w:rFonts w:ascii="仿宋" w:hAnsi="仿宋" w:eastAsia="仿宋"/>
                <w:color w:val="000000"/>
                <w:sz w:val="28"/>
                <w:szCs w:val="28"/>
              </w:rPr>
            </w:pP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2：00—17：00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sz w:val="24"/>
                <w:szCs w:val="24"/>
              </w:rPr>
              <w:t>企业参访：A.0史密斯 (中国)热水器有限公司</w:t>
            </w:r>
          </w:p>
        </w:tc>
        <w:tc>
          <w:tcPr>
            <w:tcW w:w="1709" w:type="dxa"/>
            <w:vAlign w:val="center"/>
          </w:tcPr>
          <w:p>
            <w:pPr>
              <w:jc w:val="center"/>
              <w:textAlignment w:val="center"/>
              <w:rPr>
                <w:rFonts w:ascii="仿宋" w:hAnsi="仿宋" w:eastAsia="仿宋"/>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78" w:hRule="atLeast"/>
          <w:jc w:val="center"/>
        </w:trPr>
        <w:tc>
          <w:tcPr>
            <w:tcW w:w="1687" w:type="dxa"/>
            <w:vMerge w:val="restart"/>
            <w:vAlign w:val="center"/>
          </w:tcPr>
          <w:p>
            <w:pPr>
              <w:jc w:val="center"/>
              <w:textAlignment w:val="center"/>
              <w:rPr>
                <w:rFonts w:ascii="仿宋" w:hAnsi="仿宋" w:eastAsia="仿宋"/>
                <w:color w:val="000000"/>
                <w:sz w:val="28"/>
                <w:szCs w:val="28"/>
              </w:rPr>
            </w:pPr>
            <w:r>
              <w:rPr>
                <w:rFonts w:hint="eastAsia" w:ascii="仿宋" w:hAnsi="仿宋" w:eastAsia="仿宋"/>
                <w:color w:val="000000"/>
                <w:sz w:val="28"/>
                <w:szCs w:val="28"/>
              </w:rPr>
              <w:t>4月19日</w:t>
            </w:r>
          </w:p>
          <w:p>
            <w:pPr>
              <w:jc w:val="center"/>
              <w:textAlignment w:val="center"/>
              <w:rPr>
                <w:rFonts w:ascii="仿宋" w:hAnsi="仿宋" w:eastAsia="仿宋"/>
                <w:color w:val="000000"/>
                <w:sz w:val="28"/>
                <w:szCs w:val="28"/>
              </w:rPr>
            </w:pPr>
            <w:r>
              <w:rPr>
                <w:rFonts w:hint="eastAsia" w:ascii="仿宋" w:hAnsi="仿宋" w:eastAsia="仿宋"/>
                <w:color w:val="000000"/>
                <w:sz w:val="28"/>
                <w:szCs w:val="28"/>
              </w:rPr>
              <w:t>（周四）</w:t>
            </w: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9：00—12：00</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sz w:val="24"/>
                <w:szCs w:val="24"/>
              </w:rPr>
              <w:t>区块链金融</w:t>
            </w:r>
          </w:p>
        </w:tc>
        <w:tc>
          <w:tcPr>
            <w:tcW w:w="1709" w:type="dxa"/>
            <w:vAlign w:val="center"/>
          </w:tcPr>
          <w:p>
            <w:pPr>
              <w:jc w:val="center"/>
              <w:textAlignment w:val="center"/>
              <w:rPr>
                <w:rFonts w:ascii="仿宋" w:hAnsi="仿宋" w:eastAsia="仿宋"/>
                <w:color w:val="000000"/>
                <w:sz w:val="24"/>
                <w:szCs w:val="24"/>
              </w:rPr>
            </w:pPr>
            <w:r>
              <w:rPr>
                <w:rFonts w:hint="eastAsia" w:ascii="仿宋" w:hAnsi="仿宋" w:eastAsia="仿宋"/>
                <w:sz w:val="24"/>
                <w:szCs w:val="24"/>
              </w:rPr>
              <w:t>林辉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jc w:val="center"/>
        </w:trPr>
        <w:tc>
          <w:tcPr>
            <w:tcW w:w="1687" w:type="dxa"/>
            <w:vMerge w:val="continue"/>
            <w:vAlign w:val="center"/>
          </w:tcPr>
          <w:p>
            <w:pPr>
              <w:widowControl/>
              <w:jc w:val="left"/>
              <w:rPr>
                <w:rFonts w:ascii="仿宋" w:hAnsi="仿宋" w:eastAsia="仿宋"/>
                <w:color w:val="000000"/>
                <w:sz w:val="28"/>
                <w:szCs w:val="28"/>
              </w:rPr>
            </w:pPr>
          </w:p>
        </w:tc>
        <w:tc>
          <w:tcPr>
            <w:tcW w:w="2353" w:type="dxa"/>
            <w:vAlign w:val="center"/>
          </w:tcPr>
          <w:p>
            <w:pPr>
              <w:jc w:val="center"/>
              <w:textAlignment w:val="center"/>
              <w:rPr>
                <w:rFonts w:ascii="仿宋" w:hAnsi="仿宋" w:eastAsia="仿宋"/>
                <w:color w:val="000000"/>
                <w:sz w:val="24"/>
                <w:szCs w:val="24"/>
              </w:rPr>
            </w:pPr>
            <w:r>
              <w:rPr>
                <w:rFonts w:hint="eastAsia" w:ascii="仿宋" w:hAnsi="仿宋" w:eastAsia="仿宋"/>
                <w:color w:val="000000"/>
                <w:sz w:val="24"/>
                <w:szCs w:val="24"/>
              </w:rPr>
              <w:t>下午</w:t>
            </w:r>
          </w:p>
        </w:tc>
        <w:tc>
          <w:tcPr>
            <w:tcW w:w="3651" w:type="dxa"/>
            <w:vAlign w:val="center"/>
          </w:tcPr>
          <w:p>
            <w:pPr>
              <w:jc w:val="left"/>
              <w:textAlignment w:val="center"/>
              <w:rPr>
                <w:rFonts w:ascii="仿宋" w:hAnsi="仿宋" w:eastAsia="仿宋"/>
                <w:color w:val="000000"/>
                <w:sz w:val="24"/>
                <w:szCs w:val="24"/>
              </w:rPr>
            </w:pPr>
            <w:r>
              <w:rPr>
                <w:rFonts w:hint="eastAsia" w:ascii="仿宋" w:hAnsi="仿宋" w:eastAsia="仿宋"/>
                <w:color w:val="000000"/>
                <w:sz w:val="24"/>
                <w:szCs w:val="24"/>
              </w:rPr>
              <w:t>学员回程</w:t>
            </w:r>
          </w:p>
        </w:tc>
        <w:tc>
          <w:tcPr>
            <w:tcW w:w="1709" w:type="dxa"/>
            <w:vAlign w:val="center"/>
          </w:tcPr>
          <w:p>
            <w:pPr>
              <w:jc w:val="center"/>
              <w:textAlignment w:val="center"/>
              <w:rPr>
                <w:rFonts w:ascii="仿宋" w:hAnsi="仿宋" w:eastAsia="仿宋"/>
                <w:color w:val="000000"/>
                <w:sz w:val="24"/>
                <w:szCs w:val="24"/>
              </w:rPr>
            </w:pPr>
          </w:p>
        </w:tc>
      </w:tr>
    </w:tbl>
    <w:p>
      <w:pPr>
        <w:jc w:val="left"/>
        <w:textAlignment w:val="center"/>
        <w:rPr>
          <w:rFonts w:hint="eastAsia" w:ascii="宋体" w:hAnsi="宋体" w:eastAsia="宋体"/>
          <w:color w:val="000000"/>
          <w:sz w:val="21"/>
          <w:szCs w:val="21"/>
        </w:rPr>
      </w:pPr>
      <w:r>
        <w:rPr>
          <w:rFonts w:hint="eastAsia" w:ascii="宋体" w:hAnsi="宋体" w:eastAsia="宋体"/>
          <w:color w:val="000000"/>
          <w:sz w:val="21"/>
          <w:szCs w:val="21"/>
        </w:rPr>
        <w:t xml:space="preserve"> </w:t>
      </w:r>
    </w:p>
    <w:p>
      <w:pPr>
        <w:jc w:val="left"/>
        <w:textAlignment w:val="center"/>
        <w:rPr>
          <w:rFonts w:hint="eastAsia" w:ascii="宋体" w:hAnsi="宋体" w:eastAsia="宋体"/>
          <w:color w:val="000000"/>
          <w:sz w:val="21"/>
          <w:szCs w:val="21"/>
        </w:rPr>
      </w:pPr>
    </w:p>
    <w:p>
      <w:pPr>
        <w:jc w:val="left"/>
        <w:textAlignment w:val="center"/>
        <w:rPr>
          <w:rFonts w:hint="eastAsia" w:ascii="宋体" w:hAnsi="宋体" w:eastAsia="宋体"/>
          <w:color w:val="000000"/>
          <w:sz w:val="21"/>
          <w:szCs w:val="21"/>
        </w:rPr>
      </w:pPr>
    </w:p>
    <w:p>
      <w:pPr>
        <w:spacing w:line="620" w:lineRule="exact"/>
        <w:ind w:firstLine="775"/>
        <w:jc w:val="left"/>
        <w:rPr>
          <w:rFonts w:hint="eastAsia" w:ascii="仿宋_GB2312" w:hAnsi="仿宋" w:cs="宋体"/>
          <w:b/>
          <w:bCs/>
        </w:rPr>
      </w:pPr>
      <w:r>
        <w:rPr>
          <w:rFonts w:hint="eastAsia" w:ascii="仿宋_GB2312" w:hAnsi="仿宋" w:cs="宋体"/>
          <w:b/>
          <w:bCs/>
        </w:rPr>
        <w:t>师资介绍：</w:t>
      </w:r>
    </w:p>
    <w:p>
      <w:pPr>
        <w:spacing w:line="620" w:lineRule="exact"/>
        <w:ind w:firstLine="632" w:firstLineChars="200"/>
        <w:rPr>
          <w:rFonts w:hint="eastAsia" w:ascii="仿宋_GB2312" w:hAnsi="仿宋"/>
        </w:rPr>
      </w:pPr>
      <w:r>
        <w:rPr>
          <w:rFonts w:hint="eastAsia" w:ascii="仿宋_GB2312" w:hAnsi="仿宋"/>
          <w:bCs/>
        </w:rPr>
        <w:t>耿强，</w:t>
      </w:r>
      <w:r>
        <w:rPr>
          <w:rFonts w:hint="eastAsia" w:ascii="仿宋_GB2312" w:hAnsi="仿宋"/>
        </w:rPr>
        <w:t>经济学博士，中国社科院博士后，美国华盛顿大学访问学者，美国哈佛大学商学院进修学者。现任南京大学商学院教授，人口研究所所长。中国县域经济学会副秘书长，中国工业经济学会理事，中国工业经济学会理事，江苏文化经济学会副会长。长期从事中国宏观理论与政策、经济周期波动与企业战略、互联网经济与商业模式的相关科研教学工作。</w:t>
      </w:r>
    </w:p>
    <w:p>
      <w:pPr>
        <w:spacing w:line="620" w:lineRule="exact"/>
        <w:ind w:firstLine="775" w:firstLineChars="245"/>
        <w:rPr>
          <w:rFonts w:hint="eastAsia" w:ascii="仿宋_GB2312" w:hAnsi="仿宋"/>
        </w:rPr>
      </w:pPr>
      <w:r>
        <w:rPr>
          <w:rFonts w:hint="eastAsia" w:ascii="仿宋_GB2312" w:hAnsi="仿宋"/>
          <w:bCs/>
        </w:rPr>
        <w:t>武黎嵩，</w:t>
      </w:r>
      <w:r>
        <w:rPr>
          <w:rFonts w:hint="eastAsia" w:ascii="仿宋_GB2312" w:hAnsi="仿宋"/>
        </w:rPr>
        <w:t>男，1983年1月生，江苏徐州人，南京大学历史学院院长助理，讲师。 2001年进入南京大学历史学系历史学专业学习，2005年获得历史学学士学位。后在南京大学历史学系师从颜世安教授攻读中国古代史（硕士阶段）、中国思想史（博士阶段）研究生，2008年获历史学硕士学位、2011年获历史学博士学位。主要研究方向为中国古代思想史、文化史。曾在香港中文大学、台湾大学、日本国立德岛大学访学。</w:t>
      </w:r>
    </w:p>
    <w:p>
      <w:pPr>
        <w:spacing w:line="620" w:lineRule="exact"/>
        <w:ind w:firstLine="632" w:firstLineChars="200"/>
        <w:rPr>
          <w:rFonts w:hint="eastAsia" w:ascii="仿宋_GB2312" w:hAnsi="仿宋"/>
        </w:rPr>
      </w:pPr>
      <w:r>
        <w:rPr>
          <w:rFonts w:hint="eastAsia" w:ascii="仿宋_GB2312" w:hAnsi="仿宋"/>
          <w:bCs/>
          <w:color w:val="000000"/>
        </w:rPr>
        <w:t>蒋春燕</w:t>
      </w:r>
      <w:r>
        <w:rPr>
          <w:rFonts w:hint="eastAsia" w:ascii="仿宋_GB2312" w:hAnsi="仿宋"/>
          <w:color w:val="000000"/>
        </w:rPr>
        <w:t>，香港中文大学管理学博士（2001-2006），南京大学商学院人力资源管理系副主任，教授，博士生导师。主要研究方向为战略人力资源管理与创业管理。现为美国管理学学会会员，中国管理研究国际学会会员，亚洲管理学会会员。曾在《管理世界》、《管理科学学报》、《中国工业经济》、Management and Organization Review等期刊上发表多篇论文，多次参加美国管理学年会、亚洲管理学年会、和中国管理学年会等，并在会议上宣读论文，是这些会议的匿名评审人。主持国家自然科学基金3项，教育部人文社会科学基金1项。 南京大学“青年骨干教师”培养计划人选，获得获第六、七届南京大学人文社会科学研究成果奖二等奖。</w:t>
      </w:r>
    </w:p>
    <w:p>
      <w:pPr>
        <w:pStyle w:val="4"/>
        <w:spacing w:line="620" w:lineRule="exact"/>
        <w:ind w:firstLine="632" w:firstLineChars="200"/>
        <w:rPr>
          <w:rFonts w:hint="eastAsia" w:ascii="仿宋_GB2312" w:hAnsi="仿宋" w:eastAsia="仿宋_GB2312"/>
          <w:sz w:val="32"/>
          <w:szCs w:val="32"/>
        </w:rPr>
      </w:pPr>
      <w:r>
        <w:rPr>
          <w:rFonts w:hint="eastAsia" w:ascii="仿宋_GB2312" w:hAnsi="仿宋" w:eastAsia="仿宋_GB2312"/>
          <w:bCs/>
          <w:sz w:val="32"/>
          <w:szCs w:val="32"/>
        </w:rPr>
        <w:t>林辉，</w:t>
      </w:r>
      <w:r>
        <w:rPr>
          <w:rFonts w:hint="eastAsia" w:ascii="仿宋_GB2312" w:hAnsi="仿宋" w:eastAsia="仿宋_GB2312"/>
          <w:sz w:val="32"/>
          <w:szCs w:val="32"/>
        </w:rPr>
        <w:t>南京大学商学院金融与保险学系系主任、教授、博士生导师，管理学博士，经济学博士后。</w:t>
      </w:r>
    </w:p>
    <w:p>
      <w:pPr>
        <w:spacing w:line="620" w:lineRule="exact"/>
        <w:rPr>
          <w:rFonts w:hint="eastAsia" w:ascii="仿宋_GB2312" w:hAnsi="仿宋" w:cs="宋体"/>
          <w:b/>
          <w:bCs/>
        </w:rPr>
      </w:pPr>
    </w:p>
    <w:p>
      <w:pPr>
        <w:spacing w:line="620" w:lineRule="exact"/>
        <w:rPr>
          <w:rFonts w:hint="eastAsia" w:ascii="仿宋_GB2312" w:hAnsi="仿宋"/>
          <w:b/>
          <w:bCs/>
        </w:rPr>
      </w:pPr>
      <w:r>
        <w:rPr>
          <w:rFonts w:hint="eastAsia" w:ascii="仿宋_GB2312" w:hAnsi="仿宋"/>
          <w:b/>
          <w:bCs/>
          <w:color w:val="333333"/>
        </w:rPr>
        <w:t>参访企业</w:t>
      </w:r>
      <w:r>
        <w:rPr>
          <w:rFonts w:hint="eastAsia" w:ascii="仿宋_GB2312" w:hAnsi="仿宋"/>
          <w:b/>
          <w:bCs/>
        </w:rPr>
        <w:t>介绍：</w:t>
      </w:r>
    </w:p>
    <w:p>
      <w:pPr>
        <w:spacing w:line="620" w:lineRule="exact"/>
        <w:rPr>
          <w:rFonts w:hint="eastAsia" w:ascii="仿宋_GB2312" w:hAnsi="仿宋"/>
          <w:b/>
          <w:bCs/>
          <w:color w:val="333333"/>
        </w:rPr>
      </w:pPr>
      <w:r>
        <w:rPr>
          <w:rFonts w:hint="eastAsia" w:ascii="仿宋_GB2312" w:hAnsi="仿宋"/>
          <w:b/>
          <w:bCs/>
          <w:color w:val="333333"/>
        </w:rPr>
        <w:t>参访企业一：</w:t>
      </w:r>
    </w:p>
    <w:p>
      <w:pPr>
        <w:pStyle w:val="4"/>
        <w:spacing w:line="62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ABB是电力和自动化技术的全球领导厂商，致力于为工业和电力行业客户提供解决方案，以帮助客户提高生产效率，同时降低对环境的不良影响。ABB集团的业务遍布全球100多个国家，拥有约124,000名员工。目前，ABB下设5大业务部门：电力产品部：电力产品是输配电工程的重要组成部分。该部门将统领ABB在世界各地的变压器、开关、断路器、电缆和辅助设备制造业务。此外，它还提供相关服务，从而提升产品性能，延长产品生命周期。电力系统部：电力系统部为世界各地的输配电网络和发电厂提供全套系统和服务，重点是变电站和变电站自动控制系统。此外，该部门还提供灵活交流输电系统（FACTS）和高压直流（HVDC）输电系统以及电网管理系统。在发电业务领域，电力系统部提供仪表产品以及电厂控制和辅助装置。离散自动化与运动控制部：离散自动化与运动控制部提供帮助客户提高生产效率和能源效率的产品、解决方案和相关服务，其电机、发电机、传动系统、可编程逻辑控制器、电力电子和机器人产品可以广泛应用于电力、运动和控制等自动化领域。该业务部门在风力发电机行业拥有领导地位，在太阳能领域的产品线也日益丰富，这将进一步促进离散自动化与运动控制部在工业领域现有技术、渠道和运营平台的发展。低压产品部： ABB低压产品业务部下设控制产品、断路器和开关、开关插座、箱体和导轨元件以及</w:t>
      </w:r>
      <w:r>
        <w:rPr>
          <w:rFonts w:hint="eastAsia" w:ascii="仿宋_GB2312" w:hAnsi="仿宋" w:eastAsia="仿宋_GB2312"/>
          <w:color w:val="000000"/>
          <w:sz w:val="32"/>
          <w:szCs w:val="32"/>
        </w:rPr>
        <w:t>低压系统</w:t>
      </w:r>
      <w:r>
        <w:rPr>
          <w:rFonts w:hint="eastAsia" w:ascii="仿宋_GB2312" w:hAnsi="仿宋" w:eastAsia="仿宋_GB2312"/>
          <w:sz w:val="32"/>
          <w:szCs w:val="32"/>
        </w:rPr>
        <w:t>业务单元。ABB低压产品可以广泛应用于工商业与民用建筑配电系统、各种自动化设备和大型基础设施。主要产品包括：低压控制及自动化产品、自动转换开关电器、断路器、开关、线路保护、电网质量、开关插座、智能建筑控制系统、箱壳类产品和低压配电系统。过程自动化部：ABB过程自动化部为客户提供仪器仪表、自动化产品和工业流程优化解决方案，服务于石油、天然气、电力、化学、制药、制浆、造纸、金属、矿产、船舶和涡轮增压等行业，致力于帮助客户提高生产效率和能源效率，实现资产价值最大化。南京公司的现场管理、流程管理做得特别好。</w:t>
      </w:r>
    </w:p>
    <w:p>
      <w:pPr>
        <w:pStyle w:val="4"/>
        <w:spacing w:line="620" w:lineRule="exact"/>
        <w:rPr>
          <w:rFonts w:hint="eastAsia" w:ascii="仿宋_GB2312" w:hAnsi="仿宋" w:eastAsia="仿宋_GB2312"/>
          <w:b/>
          <w:bCs/>
          <w:color w:val="333333"/>
          <w:sz w:val="32"/>
          <w:szCs w:val="32"/>
        </w:rPr>
      </w:pPr>
    </w:p>
    <w:p>
      <w:pPr>
        <w:pStyle w:val="4"/>
        <w:spacing w:line="620" w:lineRule="exact"/>
        <w:rPr>
          <w:rFonts w:hint="eastAsia" w:ascii="仿宋_GB2312" w:hAnsi="仿宋" w:eastAsia="仿宋_GB2312"/>
          <w:sz w:val="32"/>
          <w:szCs w:val="32"/>
        </w:rPr>
      </w:pPr>
      <w:r>
        <w:rPr>
          <w:rFonts w:hint="eastAsia" w:ascii="仿宋_GB2312" w:hAnsi="仿宋" w:eastAsia="仿宋_GB2312"/>
          <w:b/>
          <w:bCs/>
          <w:color w:val="333333"/>
          <w:sz w:val="32"/>
          <w:szCs w:val="32"/>
        </w:rPr>
        <w:t>企业参访二</w:t>
      </w:r>
      <w:r>
        <w:rPr>
          <w:rFonts w:hint="eastAsia" w:ascii="仿宋_GB2312" w:hAnsi="仿宋" w:eastAsia="仿宋_GB2312"/>
          <w:sz w:val="32"/>
          <w:szCs w:val="32"/>
        </w:rPr>
        <w:t>：</w:t>
      </w:r>
    </w:p>
    <w:p>
      <w:pPr>
        <w:pStyle w:val="4"/>
        <w:spacing w:line="62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艾欧史密斯（中国）热水器有限公司，是美国A.O.史密斯公司在1998年投资成立的位于南京经济技术开发区的独资公司，包括新启用的全球超级产研基地，总投资额1.8亿美元。A.O.史密斯已经在中国建立了完善的研发、生产、销售及服务一体化的现代化管理体系，产品跨家用、商用两大领域：家用产品包括电热水器、燃气热水器、空气源热泵热水器、太阳能热水器、家庭中央热水、家庭采暖、净水机、家庭中央净水、空气净化器、软水机十大品类，商用产品包括热水炉、热水锅炉、净水机三大品类。机器人操作、企业文化建设等做得特别好。</w:t>
      </w:r>
    </w:p>
    <w:p>
      <w:pPr>
        <w:pStyle w:val="4"/>
        <w:spacing w:line="620" w:lineRule="exact"/>
        <w:ind w:firstLine="632" w:firstLineChars="200"/>
        <w:rPr>
          <w:rFonts w:hint="eastAsia" w:ascii="仿宋_GB2312" w:hAnsi="仿宋" w:eastAsia="仿宋_GB2312"/>
          <w:sz w:val="32"/>
          <w:szCs w:val="32"/>
        </w:rPr>
      </w:pPr>
    </w:p>
    <w:p>
      <w:pPr>
        <w:pStyle w:val="4"/>
        <w:spacing w:line="620" w:lineRule="exact"/>
        <w:ind w:firstLine="632" w:firstLineChars="200"/>
        <w:rPr>
          <w:rFonts w:hint="eastAsia" w:ascii="仿宋_GB2312" w:hAnsi="仿宋" w:eastAsia="仿宋_GB2312"/>
          <w:sz w:val="32"/>
          <w:szCs w:val="32"/>
        </w:rPr>
      </w:pPr>
    </w:p>
    <w:p>
      <w:pPr>
        <w:pStyle w:val="4"/>
        <w:ind w:firstLine="472" w:firstLineChars="200"/>
        <w:rPr>
          <w:rFonts w:hint="eastAsia" w:ascii="仿宋" w:hAnsi="仿宋" w:eastAsia="仿宋"/>
        </w:rPr>
      </w:pPr>
    </w:p>
    <w:p>
      <w:pPr>
        <w:pStyle w:val="4"/>
        <w:ind w:firstLine="472" w:firstLineChars="200"/>
        <w:rPr>
          <w:rFonts w:hint="eastAsia" w:ascii="仿宋" w:hAnsi="仿宋" w:eastAsia="仿宋"/>
        </w:rPr>
      </w:pPr>
    </w:p>
    <w:p>
      <w:pPr>
        <w:pStyle w:val="4"/>
        <w:ind w:firstLine="472" w:firstLineChars="200"/>
        <w:rPr>
          <w:rFonts w:hint="eastAsia" w:ascii="仿宋" w:hAnsi="仿宋" w:eastAsia="仿宋"/>
        </w:rPr>
      </w:pPr>
    </w:p>
    <w:p>
      <w:pPr>
        <w:pStyle w:val="4"/>
        <w:rPr>
          <w:rFonts w:hint="eastAsia" w:ascii="仿宋" w:hAnsi="仿宋" w:eastAsia="仿宋"/>
        </w:rPr>
      </w:pPr>
    </w:p>
    <w:p>
      <w:pPr>
        <w:pStyle w:val="4"/>
        <w:ind w:firstLine="472" w:firstLineChars="200"/>
        <w:rPr>
          <w:rFonts w:hint="eastAsia" w:ascii="仿宋" w:hAnsi="仿宋" w:eastAsia="仿宋"/>
        </w:rPr>
      </w:pPr>
    </w:p>
    <w:p>
      <w:pPr>
        <w:pStyle w:val="4"/>
        <w:rPr>
          <w:rFonts w:hint="eastAsia" w:ascii="仿宋" w:hAnsi="仿宋" w:eastAsia="仿宋"/>
        </w:rPr>
      </w:pPr>
    </w:p>
    <w:p>
      <w:pPr>
        <w:spacing w:line="620" w:lineRule="exact"/>
        <w:rPr>
          <w:rFonts w:hint="eastAsia" w:ascii="黑体" w:hAnsi="黑体" w:eastAsia="黑体"/>
        </w:rPr>
      </w:pPr>
      <w:r>
        <w:rPr>
          <w:rFonts w:hint="eastAsia" w:ascii="黑体" w:hAnsi="黑体" w:eastAsia="黑体"/>
        </w:rPr>
        <w:t>附件2</w:t>
      </w:r>
    </w:p>
    <w:p>
      <w:pPr>
        <w:autoSpaceDE w:val="0"/>
        <w:autoSpaceDN w:val="0"/>
        <w:adjustRightInd w:val="0"/>
        <w:spacing w:line="760" w:lineRule="exact"/>
        <w:ind w:left="352" w:right="18" w:hanging="180"/>
        <w:jc w:val="center"/>
        <w:rPr>
          <w:rFonts w:hint="eastAsia" w:ascii="方正小标宋简体" w:hAnsi="仿宋_GB2312" w:eastAsia="方正小标宋简体" w:cs="仿宋_GB2312"/>
          <w:b/>
          <w:bCs/>
          <w:kern w:val="0"/>
          <w:sz w:val="44"/>
          <w:szCs w:val="44"/>
        </w:rPr>
      </w:pPr>
      <w:r>
        <w:rPr>
          <w:rFonts w:hint="eastAsia" w:ascii="方正小标宋简体" w:hAnsi="仿宋_GB2312" w:eastAsia="方正小标宋简体" w:cs="仿宋_GB2312"/>
          <w:b/>
          <w:bCs/>
          <w:kern w:val="0"/>
          <w:sz w:val="44"/>
          <w:szCs w:val="44"/>
        </w:rPr>
        <w:t>报名表</w:t>
      </w:r>
    </w:p>
    <w:p>
      <w:pPr>
        <w:rPr>
          <w:rFonts w:hint="eastAsia" w:ascii="仿宋_GB2312"/>
          <w:sz w:val="28"/>
          <w:szCs w:val="28"/>
        </w:rPr>
      </w:pPr>
      <w:r>
        <w:rPr>
          <w:rFonts w:hint="eastAsia" w:ascii="仿宋_GB2312"/>
          <w:sz w:val="28"/>
          <w:szCs w:val="28"/>
        </w:rPr>
        <w:t>填报单位（盖章）：</w:t>
      </w:r>
    </w:p>
    <w:tbl>
      <w:tblPr>
        <w:tblStyle w:val="7"/>
        <w:tblW w:w="10498" w:type="dxa"/>
        <w:tblInd w:w="-612" w:type="dxa"/>
        <w:tblLayout w:type="fixed"/>
        <w:tblCellMar>
          <w:top w:w="0" w:type="dxa"/>
          <w:left w:w="108" w:type="dxa"/>
          <w:bottom w:w="0" w:type="dxa"/>
          <w:right w:w="108" w:type="dxa"/>
        </w:tblCellMar>
      </w:tblPr>
      <w:tblGrid>
        <w:gridCol w:w="748"/>
        <w:gridCol w:w="998"/>
        <w:gridCol w:w="750"/>
        <w:gridCol w:w="3264"/>
        <w:gridCol w:w="1080"/>
        <w:gridCol w:w="1440"/>
        <w:gridCol w:w="1260"/>
        <w:gridCol w:w="958"/>
      </w:tblGrid>
      <w:tr>
        <w:tblPrEx>
          <w:tblLayout w:type="fixed"/>
          <w:tblCellMar>
            <w:top w:w="0" w:type="dxa"/>
            <w:left w:w="108" w:type="dxa"/>
            <w:bottom w:w="0" w:type="dxa"/>
            <w:right w:w="108" w:type="dxa"/>
          </w:tblCellMar>
        </w:tblPrEx>
        <w:trPr>
          <w:trHeight w:val="917" w:hRule="atLeas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szCs w:val="24"/>
              </w:rPr>
            </w:pPr>
            <w:r>
              <w:rPr>
                <w:rFonts w:hint="eastAsia" w:ascii="仿宋_GB2312"/>
                <w:sz w:val="24"/>
                <w:szCs w:val="24"/>
              </w:rPr>
              <w:t>序号</w:t>
            </w:r>
          </w:p>
        </w:tc>
        <w:tc>
          <w:tcPr>
            <w:tcW w:w="998" w:type="dxa"/>
            <w:tcBorders>
              <w:top w:val="single" w:color="auto" w:sz="4" w:space="0"/>
              <w:left w:val="nil"/>
              <w:bottom w:val="single" w:color="auto" w:sz="4" w:space="0"/>
              <w:right w:val="single" w:color="auto" w:sz="4" w:space="0"/>
            </w:tcBorders>
            <w:vAlign w:val="bottom"/>
          </w:tcPr>
          <w:p>
            <w:pPr>
              <w:spacing w:line="480" w:lineRule="auto"/>
              <w:jc w:val="center"/>
              <w:rPr>
                <w:rFonts w:ascii="仿宋_GB2312"/>
                <w:sz w:val="24"/>
                <w:szCs w:val="24"/>
              </w:rPr>
            </w:pPr>
            <w:r>
              <w:rPr>
                <w:rFonts w:hint="eastAsia" w:ascii="仿宋_GB2312"/>
                <w:sz w:val="24"/>
                <w:szCs w:val="24"/>
              </w:rPr>
              <w:t>姓 名</w:t>
            </w: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4"/>
                <w:szCs w:val="24"/>
              </w:rPr>
            </w:pPr>
            <w:r>
              <w:rPr>
                <w:rFonts w:hint="eastAsia" w:ascii="仿宋_GB2312"/>
                <w:sz w:val="24"/>
                <w:szCs w:val="24"/>
              </w:rPr>
              <w:t>性别</w:t>
            </w:r>
          </w:p>
        </w:tc>
        <w:tc>
          <w:tcPr>
            <w:tcW w:w="3264" w:type="dxa"/>
            <w:tcBorders>
              <w:top w:val="single" w:color="auto" w:sz="4" w:space="0"/>
              <w:left w:val="nil"/>
              <w:bottom w:val="single" w:color="auto" w:sz="4" w:space="0"/>
              <w:right w:val="single" w:color="auto" w:sz="4" w:space="0"/>
            </w:tcBorders>
            <w:vAlign w:val="top"/>
          </w:tcPr>
          <w:p>
            <w:pPr>
              <w:rPr>
                <w:rFonts w:hint="eastAsia" w:ascii="仿宋_GB2312"/>
                <w:sz w:val="24"/>
                <w:szCs w:val="24"/>
              </w:rPr>
            </w:pPr>
          </w:p>
          <w:p>
            <w:pPr>
              <w:jc w:val="center"/>
              <w:rPr>
                <w:rFonts w:ascii="仿宋_GB2312"/>
                <w:sz w:val="24"/>
                <w:szCs w:val="24"/>
              </w:rPr>
            </w:pPr>
            <w:r>
              <w:rPr>
                <w:rFonts w:hint="eastAsia" w:ascii="仿宋_GB2312"/>
                <w:sz w:val="24"/>
                <w:szCs w:val="24"/>
              </w:rPr>
              <w:t>单  位</w:t>
            </w:r>
          </w:p>
        </w:tc>
        <w:tc>
          <w:tcPr>
            <w:tcW w:w="1080" w:type="dxa"/>
            <w:tcBorders>
              <w:top w:val="single" w:color="auto" w:sz="4" w:space="0"/>
              <w:left w:val="nil"/>
              <w:bottom w:val="single" w:color="auto" w:sz="4" w:space="0"/>
              <w:right w:val="single" w:color="auto" w:sz="4" w:space="0"/>
            </w:tcBorders>
            <w:vAlign w:val="bottom"/>
          </w:tcPr>
          <w:p>
            <w:pPr>
              <w:spacing w:line="480" w:lineRule="auto"/>
              <w:jc w:val="center"/>
              <w:rPr>
                <w:rFonts w:ascii="仿宋_GB2312"/>
                <w:sz w:val="24"/>
                <w:szCs w:val="24"/>
              </w:rPr>
            </w:pPr>
            <w:r>
              <w:rPr>
                <w:rFonts w:hint="eastAsia" w:ascii="仿宋_GB2312"/>
                <w:sz w:val="24"/>
                <w:szCs w:val="24"/>
              </w:rPr>
              <w:t>职 务</w:t>
            </w: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4"/>
                <w:szCs w:val="24"/>
              </w:rPr>
            </w:pPr>
            <w:r>
              <w:rPr>
                <w:rFonts w:hint="eastAsia" w:ascii="仿宋_GB2312"/>
                <w:sz w:val="24"/>
                <w:szCs w:val="24"/>
              </w:rPr>
              <w:t>联 系</w:t>
            </w:r>
          </w:p>
          <w:p>
            <w:pPr>
              <w:jc w:val="center"/>
              <w:rPr>
                <w:rFonts w:ascii="仿宋_GB2312"/>
                <w:sz w:val="24"/>
                <w:szCs w:val="24"/>
              </w:rPr>
            </w:pPr>
            <w:r>
              <w:rPr>
                <w:rFonts w:hint="eastAsia" w:ascii="仿宋_GB2312"/>
                <w:sz w:val="24"/>
                <w:szCs w:val="24"/>
              </w:rPr>
              <w:t>电 话</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4"/>
                <w:szCs w:val="24"/>
              </w:rPr>
            </w:pPr>
            <w:r>
              <w:rPr>
                <w:rFonts w:hint="eastAsia" w:ascii="仿宋_GB2312"/>
                <w:sz w:val="24"/>
                <w:szCs w:val="24"/>
              </w:rPr>
              <w:t>住宿标准</w:t>
            </w: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4"/>
                <w:szCs w:val="24"/>
              </w:rPr>
            </w:pPr>
            <w:r>
              <w:rPr>
                <w:rFonts w:hint="eastAsia" w:ascii="仿宋_GB2312"/>
                <w:sz w:val="24"/>
                <w:szCs w:val="24"/>
              </w:rPr>
              <w:t>是否集中前往</w:t>
            </w:r>
          </w:p>
        </w:tc>
      </w:tr>
      <w:tr>
        <w:tblPrEx>
          <w:tblLayout w:type="fixed"/>
          <w:tblCellMar>
            <w:top w:w="0" w:type="dxa"/>
            <w:left w:w="108" w:type="dxa"/>
            <w:bottom w:w="0" w:type="dxa"/>
            <w:right w:w="108" w:type="dxa"/>
          </w:tblCellMar>
        </w:tblPrEx>
        <w:trPr>
          <w:trHeight w:val="723"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bottom"/>
          </w:tcPr>
          <w:p>
            <w:pPr>
              <w:rPr>
                <w:rFonts w:hint="eastAsia"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rPr>
                <w:rFonts w:hint="eastAsia"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61"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25"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61"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25"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25"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Layout w:type="fixed"/>
          <w:tblCellMar>
            <w:top w:w="0" w:type="dxa"/>
            <w:left w:w="108" w:type="dxa"/>
            <w:bottom w:w="0" w:type="dxa"/>
            <w:right w:w="108" w:type="dxa"/>
          </w:tblCellMar>
        </w:tblPrEx>
        <w:trPr>
          <w:trHeight w:val="7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sz w:val="28"/>
                <w:szCs w:val="28"/>
              </w:rPr>
            </w:pPr>
          </w:p>
        </w:tc>
        <w:tc>
          <w:tcPr>
            <w:tcW w:w="99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3264"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44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c>
          <w:tcPr>
            <w:tcW w:w="958" w:type="dxa"/>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bl>
    <w:p>
      <w:pPr>
        <w:rPr>
          <w:rFonts w:hint="eastAsia" w:ascii="仿宋_GB2312"/>
          <w:sz w:val="28"/>
          <w:szCs w:val="28"/>
        </w:rPr>
      </w:pPr>
      <w:r>
        <w:rPr>
          <w:rFonts w:hint="eastAsia" w:ascii="仿宋_GB2312"/>
          <w:sz w:val="28"/>
          <w:szCs w:val="28"/>
        </w:rPr>
        <w:t xml:space="preserve">带队负责人：          </w:t>
      </w:r>
      <w:r>
        <w:rPr>
          <w:rFonts w:hint="eastAsia" w:ascii="仿宋_GB2312"/>
          <w:sz w:val="28"/>
          <w:szCs w:val="28"/>
        </w:rPr>
        <w:tab/>
      </w:r>
      <w:r>
        <w:rPr>
          <w:rFonts w:hint="eastAsia" w:ascii="仿宋_GB2312"/>
          <w:sz w:val="28"/>
          <w:szCs w:val="28"/>
        </w:rPr>
        <w:t>手机号码：</w:t>
      </w:r>
    </w:p>
    <w:p>
      <w:pPr>
        <w:rPr>
          <w:rFonts w:hint="eastAsia" w:ascii="仿宋_GB2312"/>
          <w:sz w:val="28"/>
          <w:szCs w:val="28"/>
        </w:rPr>
      </w:pPr>
      <w:r>
        <w:rPr>
          <w:rFonts w:hint="eastAsia" w:ascii="仿宋_GB2312"/>
          <w:sz w:val="28"/>
          <w:szCs w:val="28"/>
        </w:rPr>
        <w:t xml:space="preserve"> </w:t>
      </w:r>
    </w:p>
    <w:p>
      <w:pPr>
        <w:autoSpaceDE w:val="0"/>
        <w:autoSpaceDN w:val="0"/>
        <w:adjustRightInd w:val="0"/>
        <w:spacing w:line="760" w:lineRule="exact"/>
        <w:ind w:left="352" w:right="18" w:hanging="180"/>
        <w:jc w:val="center"/>
        <w:rPr>
          <w:rFonts w:hint="eastAsia" w:ascii="宋体" w:hAnsi="宋体" w:eastAsia="宋体"/>
          <w:b/>
          <w:bCs/>
          <w:color w:val="000000"/>
          <w:sz w:val="44"/>
          <w:szCs w:val="44"/>
        </w:rPr>
      </w:pPr>
      <w:r>
        <w:rPr>
          <w:rFonts w:hint="eastAsia" w:ascii="宋体" w:hAnsi="宋体" w:eastAsia="宋体"/>
          <w:b/>
          <w:bCs/>
          <w:color w:val="000000"/>
          <w:sz w:val="44"/>
          <w:szCs w:val="44"/>
        </w:rPr>
        <w:t xml:space="preserve"> </w:t>
      </w:r>
    </w:p>
    <w:p>
      <w:pPr>
        <w:spacing w:line="620" w:lineRule="exact"/>
        <w:rPr>
          <w:rFonts w:hint="eastAsia" w:ascii="仿宋_GB2312"/>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ascii="仿宋_GB2312"/>
        </w:rPr>
      </w:pPr>
    </w:p>
    <w:p>
      <w:pPr>
        <w:spacing w:line="620" w:lineRule="exact"/>
        <w:rPr>
          <w:rFonts w:hint="eastAsia" w:ascii="仿宋_GB2312"/>
        </w:rPr>
      </w:pPr>
    </w:p>
    <w:p>
      <w:pPr>
        <w:spacing w:line="620" w:lineRule="exact"/>
        <w:rPr>
          <w:rFonts w:hint="eastAsia" w:ascii="仿宋_GB2312"/>
        </w:rPr>
      </w:pPr>
    </w:p>
    <w:p>
      <w:pPr>
        <w:spacing w:line="620" w:lineRule="exact"/>
        <w:rPr>
          <w:rFonts w:hint="eastAsia" w:ascii="仿宋_GB2312"/>
        </w:rPr>
      </w:pPr>
    </w:p>
    <w:p>
      <w:pPr>
        <w:jc w:val="left"/>
        <w:rPr>
          <w:rFonts w:hint="eastAsia"/>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407670</wp:posOffset>
                </wp:positionV>
                <wp:extent cx="5619750" cy="0"/>
                <wp:effectExtent l="0" t="0" r="0" b="0"/>
                <wp:wrapNone/>
                <wp:docPr id="2" name="直线 2"/>
                <wp:cNvGraphicFramePr/>
                <a:graphic xmlns:a="http://schemas.openxmlformats.org/drawingml/2006/main">
                  <a:graphicData uri="http://schemas.microsoft.com/office/word/2010/wordprocessingShape">
                    <wps:wsp>
                      <wps:cNvSpPr/>
                      <wps:spPr>
                        <a:xfrm>
                          <a:off x="0" y="0"/>
                          <a:ext cx="5619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2.1pt;height:0pt;width:442.5pt;z-index:251659264;mso-width-relative:page;mso-height-relative:page;" filled="f" stroked="t" coordsize="21600,21600" o:gfxdata="UEsDBAoAAAAAAIdO4kAAAAAAAAAAAAAAAAAEAAAAZHJzL1BLAwQUAAAACACHTuJAr+Wcd9MAAAAG&#10;AQAADwAAAGRycy9kb3ducmV2LnhtbE2PzU7DMBCE70i8g7VIXCpqN0AVhTg9ALlxoQVx3cZLEhGv&#10;09j9gadnEQc4zsxq5ttydfKDOtAU+8AWFnMDirgJrufWwsumvspBxYTscAhMFj4pwqo6PyuxcOHI&#10;z3RYp1ZJCccCLXQpjYXWsenIY5yHkViy9zB5TCKnVrsJj1LuB50Zs9Qee5aFDke676j5WO+9hVi/&#10;0q7+mjUz83bdBsp2D0+PaO3lxcLcgUp0Sn/H8IMv6FAJ0zbs2UU1WJBHkoXlTQZK0jy/FWP7a+iq&#10;1P/xq29QSwMEFAAAAAgAh07iQMi1NFHNAQAAjQMAAA4AAABkcnMvZTJvRG9jLnhtbK1TzW4TMRC+&#10;I/EOlu9kk5VS6CqbHgjlgqBS6QNM/LNryX/yuNnkWXgNTlx4nL4GYydNob0gRA7O2DP+5vs+z66u&#10;9s6ynUpogu/5YjbnTHkRpPFDz+++Xr95xxlm8BJs8KrnB4X8av361WqKnWrDGKxUiRGIx26KPR9z&#10;jl3ToBiVA5yFqDwldUgOMm3T0MgEE6E727Tz+UUzhSRjCkIh0unmmOTriq+1EvmL1qgysz0nbrmu&#10;qa7bsjbrFXRDgjgacaIB/8DCgfHU9Ay1gQzsPpkXUM6IFDDoPBPBNUFrI1TVQGoW82dqbkeIqmoh&#10;czCebcL/Bys+724SM7LnLWceHD3Rw7fvDz9+srZ4M0XsqOQ23qTTDiksQvc6ufJPEti++nk4+6n2&#10;mQk6XF4sLt8uyXbxmGueLsaE+aMKjpWg59b4IhU62H3CTM2o9LGkHFvPpp5fLtslwQFNiraQKXSR&#10;uKMf6l0M1shrY225gWnYvreJ7aC8ff0VSYT7R1lpsgEcj3U1dZyKUYH84CXLh0iueBpfXig4JTmz&#10;iqa9RAQIXQZj/6aSWltPDIqrRx9LtA3yQG9wH5MZRnJiUVmWDL155XuazzJUv+8r0tNXtP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Wcd9MAAAAGAQAADwAAAAAAAAABACAAAAAiAAAAZHJzL2Rv&#10;d25yZXYueG1sUEsBAhQAFAAAAAgAh07iQMi1NFHNAQAAjQMAAA4AAAAAAAAAAQAgAAAAIgEAAGRy&#10;cy9lMm9Eb2MueG1sUEsFBgAAAAAGAAYAWQEAAGEFAAAAAA==&#10;">
                <v:path arrowok="t"/>
                <v:fill on="f" focussize="0,0"/>
                <v:stroke/>
                <v:imagedata o:title=""/>
                <o:lock v:ext="edit"/>
              </v:line>
            </w:pict>
          </mc:Fallback>
        </mc:AlternateContent>
      </w:r>
      <w:r>
        <w:rPr>
          <w:rFonts w:hint="eastAsia"/>
        </w:rPr>
        <w:t xml:space="preserve">                             </w:t>
      </w:r>
      <w:r>
        <w:rPr>
          <w:rFonts w:hint="eastAsia"/>
          <w:sz w:val="28"/>
          <w:szCs w:val="28"/>
        </w:rPr>
        <w:t xml:space="preserve">　             </w:t>
      </w:r>
    </w:p>
    <w:p>
      <w:pPr>
        <w:spacing w:line="620" w:lineRule="exact"/>
        <w:ind w:firstLine="316" w:firstLineChars="100"/>
        <w:jc w:val="left"/>
        <w:rPr>
          <w:rFonts w:hint="eastAsia" w:ascii="仿宋_GB2312"/>
        </w:rPr>
      </w:pPr>
      <w:r>
        <w:rPr>
          <w:rFonts w:hint="eastAsia" w:ascii="仿宋_GB231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398780</wp:posOffset>
                </wp:positionV>
                <wp:extent cx="5619750" cy="0"/>
                <wp:effectExtent l="0" t="0" r="0" b="0"/>
                <wp:wrapNone/>
                <wp:docPr id="1" name="直线 3"/>
                <wp:cNvGraphicFramePr/>
                <a:graphic xmlns:a="http://schemas.openxmlformats.org/drawingml/2006/main">
                  <a:graphicData uri="http://schemas.microsoft.com/office/word/2010/wordprocessingShape">
                    <wps:wsp>
                      <wps:cNvSpPr/>
                      <wps:spPr>
                        <a:xfrm>
                          <a:off x="0" y="0"/>
                          <a:ext cx="5619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1.4pt;height:0pt;width:442.5pt;z-index:251660288;mso-width-relative:page;mso-height-relative:page;" filled="f" coordsize="21600,21600" o:gfxdata="UEsDBAoAAAAAAIdO4kAAAAAAAAAAAAAAAAAEAAAAZHJzL1BLAwQUAAAACACHTuJAiwNYu9MAAAAG&#10;AQAADwAAAGRycy9kb3ducmV2LnhtbE2PzU7DMBCE70i8g7VIXCpqN4gqSuP0AOTGhQLiuo23SUS8&#10;TmP3B56eRRzgODOrmW/L9dkP6khT7ANbWMwNKOImuJ5bC68v9U0OKiZkh0NgsvBJEdbV5UWJhQsn&#10;fqbjJrVKSjgWaKFLaSy0jk1HHuM8jMSS7cLkMYmcWu0mPEm5H3RmzFJ77FkWOhzpvqPmY3PwFmL9&#10;Rvv6a9bMzPttGyjbPzw9orXXVwuzApXonP6O4Qdf0KESpm04sItqsCCPJAvLTPglzfM7Mba/hq5K&#10;/R+/+gZQSwMEFAAAAAgAh07iQC9c3cLNAQAAjQMAAA4AAABkcnMvZTJvRG9jLnhtbK1TO24bMRDt&#10;A/gOBHtrJQVy4oVWLqI4TZAYcHKAET+7BPgDh9ZKZ8k1UqXJcXyNDClZtuPGCKKCGnKGj++9mV1e&#10;7ZxlW5XQBN/x2WTKmfIiSOP7jn//dn3+njPM4CXY4FXH9wr51erszXKMrZqHIVipEiMQj+0YOz7k&#10;HNumQTEoBzgJUXlK6pAcZNqmvpEJRkJ3tplPpxfNGJKMKQiFSKfrQ5KvKr7WSuSvWqPKzHacuOW6&#10;prpuytqsltD2CeJgxJEG/AMLB8bToyeoNWRgd8m8gHJGpIBB54kIrglaG6GqBlIzm/6l5naAqKoW&#10;MgfjySb8f7Diy/YmMSOpd5x5cNSi+x8/73/9Zm+LN2PElkpu40067pDCInSnkyv/JIHtqp/7k59q&#10;l5mgw8XF7PLdgmwXD7nm8WJMmD+p4FgJOm6NL1Khhe1nzPQYlT6UlGPr2djxy8V8QXBAk6ItZApd&#10;JO7o+3oXgzXy2lhbbmDqNx9sYlsova+/Iolwn5WVR9aAw6Gupg5TMSiQH71keR/JFU/jywsFpyRn&#10;VtG0l4gAoc1g7Gsq6WnriUFx9eBjiTZB7qkHdzGZfiAnZpVlyVDPK9/jfJaherqvSI9f0e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wNYu9MAAAAGAQAADwAAAAAAAAABACAAAAAiAAAAZHJzL2Rv&#10;d25yZXYueG1sUEsBAhQAFAAAAAgAh07iQC9c3cLNAQAAjQMAAA4AAAAAAAAAAQAgAAAAIgEAAGRy&#10;cy9lMm9Eb2MueG1sUEsFBgAAAAAGAAYAWQEAAGEFAAAAAA==&#10;">
                <v:path arrowok="t"/>
                <v:fill on="f" focussize="0,0"/>
                <v:stroke/>
                <v:imagedata o:title=""/>
                <o:lock v:ext="edit"/>
              </v:line>
            </w:pict>
          </mc:Fallback>
        </mc:AlternateContent>
      </w:r>
      <w:r>
        <w:rPr>
          <w:rFonts w:hint="eastAsia" w:ascii="仿宋_GB2312" w:hAnsi="仿宋_GB2312" w:cs="仿宋_GB2312"/>
          <w:sz w:val="28"/>
          <w:szCs w:val="28"/>
        </w:rPr>
        <w:t>舟山市经济和信息化委员会办公室          2018</w:t>
      </w:r>
      <w:r>
        <w:rPr>
          <w:rFonts w:hint="eastAsia" w:ascii="仿宋_GB2312"/>
          <w:sz w:val="28"/>
          <w:szCs w:val="28"/>
        </w:rPr>
        <w:t>年3月28日印发</w:t>
      </w:r>
      <w:bookmarkStart w:id="0" w:name="BodyEnd"/>
      <w:bookmarkEnd w:id="0"/>
      <w:bookmarkStart w:id="1" w:name="Body"/>
      <w:bookmarkEnd w:id="1"/>
    </w:p>
    <w:p>
      <w:bookmarkStart w:id="2" w:name="_GoBack"/>
      <w:bookmarkEnd w:id="2"/>
    </w:p>
    <w:sectPr>
      <w:headerReference r:id="rId3" w:type="default"/>
      <w:footerReference r:id="rId5" w:type="default"/>
      <w:headerReference r:id="rId4" w:type="even"/>
      <w:footerReference r:id="rId6" w:type="even"/>
      <w:pgSz w:w="11907" w:h="16840"/>
      <w:pgMar w:top="2098" w:right="1418" w:bottom="2020" w:left="1588" w:header="851" w:footer="1134" w:gutter="0"/>
      <w:pgNumType w:fmt="numberInDash"/>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647" w:y="37"/>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2"/>
      <w:ind w:right="360" w:firstLine="360"/>
      <w:jc w:val="center"/>
      <w:rPr>
        <w:rFonts w:hint="eastAsia"/>
        <w:sz w:val="28"/>
      </w:rPr>
    </w:pP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140" w:firstLineChars="50"/>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- 2 -</w:t>
    </w:r>
    <w:r>
      <w:rPr>
        <w:rStyle w:val="6"/>
        <w:rFonts w:ascii="宋体" w:hAnsi="宋体" w:eastAsia="宋体"/>
        <w:sz w:val="28"/>
        <w:szCs w:val="28"/>
      </w:rPr>
      <w:fldChar w:fldCharType="end"/>
    </w:r>
  </w:p>
  <w:p>
    <w:pPr>
      <w:pStyle w:val="2"/>
      <w:ind w:right="360" w:firstLine="280" w:firstLineChars="100"/>
      <w:rPr>
        <w:rFonts w:hint="eastAsia"/>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13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rPr>
      <w:rFonts w:ascii="宋体" w:hAnsi="宋体" w:eastAsia="宋体" w:cs="宋体"/>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晨</cp:lastModifiedBy>
  <dcterms:modified xsi:type="dcterms:W3CDTF">2018-04-02T01:38:00Z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